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ind w:right="40"/>
        <w:jc w:val="center"/>
        <w:rPr>
          <w:rFonts w:ascii="Times New Roman" w:cs="Times New Roman" w:hAnsi="Times New Roman"/>
          <w:b/>
          <w:sz w:val="24"/>
          <w:szCs w:val="24"/>
        </w:rPr>
      </w:pPr>
      <w:r>
        <w:rPr>
          <w:rFonts w:ascii="Times New Roman" w:cs="Times New Roman" w:hAnsi="Times New Roman"/>
          <w:b/>
          <w:sz w:val="24"/>
          <w:szCs w:val="24"/>
        </w:rPr>
        <w:t>Literature Review Outline</w:t>
      </w:r>
      <w:bookmarkStart w:id="0" w:name="_GoBack"/>
      <w:bookmarkEnd w:id="0"/>
    </w:p>
    <w:p>
      <w:pPr>
        <w:pStyle w:val="style66"/>
        <w:numPr>
          <w:ilvl w:val="0"/>
          <w:numId w:val="1"/>
        </w:numPr>
        <w:spacing w:lineRule="auto" w:line="480"/>
        <w:ind w:right="40"/>
        <w:rPr>
          <w:rFonts w:ascii="Times New Roman" w:cs="Times New Roman" w:hAnsi="Times New Roman"/>
          <w:b/>
          <w:sz w:val="24"/>
          <w:szCs w:val="24"/>
        </w:rPr>
      </w:pPr>
      <w:r>
        <w:rPr>
          <w:rFonts w:ascii="Times New Roman" w:cs="Times New Roman" w:hAnsi="Times New Roman"/>
          <w:b/>
          <w:sz w:val="24"/>
          <w:szCs w:val="24"/>
        </w:rPr>
        <w:t>Introduction</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 xml:space="preserve">Hook: </w:t>
      </w:r>
      <w:r>
        <w:rPr>
          <w:rFonts w:ascii="Times New Roman" w:cs="Times New Roman" w:hAnsi="Times New Roman"/>
          <w:sz w:val="24"/>
          <w:szCs w:val="24"/>
        </w:rPr>
        <w:t>One of the most important aspects of the business is the effectiveness of its strategy.</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 xml:space="preserve">Aim of Literature review: </w:t>
      </w:r>
      <w:r>
        <w:rPr>
          <w:rFonts w:ascii="Times New Roman" w:cs="Times New Roman" w:hAnsi="Times New Roman"/>
          <w:sz w:val="24"/>
          <w:szCs w:val="24"/>
        </w:rPr>
        <w:t>analyze the effects of individual and group decision-maki</w:t>
      </w:r>
      <w:r>
        <w:rPr>
          <w:rFonts w:ascii="Times New Roman" w:cs="Times New Roman" w:hAnsi="Times New Roman"/>
          <w:sz w:val="24"/>
          <w:szCs w:val="24"/>
        </w:rPr>
        <w:t xml:space="preserve">ng processes, </w:t>
      </w:r>
      <w:r>
        <w:rPr>
          <w:rFonts w:ascii="Times New Roman" w:cs="Times New Roman" w:hAnsi="Times New Roman"/>
          <w:sz w:val="24"/>
          <w:szCs w:val="24"/>
        </w:rPr>
        <w:t>understand the emerging directions and developments in the process of strategy development and execution, and also, determine the impact of academic discipline on the process of business strategy development and execution.</w:t>
      </w:r>
    </w:p>
    <w:p>
      <w:pPr>
        <w:pStyle w:val="style66"/>
        <w:numPr>
          <w:ilvl w:val="0"/>
          <w:numId w:val="1"/>
        </w:numPr>
        <w:spacing w:lineRule="auto" w:line="480"/>
        <w:ind w:right="40"/>
        <w:rPr>
          <w:rFonts w:ascii="Times New Roman" w:cs="Times New Roman" w:hAnsi="Times New Roman"/>
          <w:b/>
          <w:sz w:val="24"/>
          <w:szCs w:val="24"/>
        </w:rPr>
      </w:pPr>
      <w:r>
        <w:rPr>
          <w:rFonts w:ascii="Times New Roman" w:cs="Times New Roman" w:hAnsi="Times New Roman"/>
          <w:b/>
          <w:sz w:val="24"/>
          <w:szCs w:val="24"/>
        </w:rPr>
        <w:t xml:space="preserve"> Review of Literature </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 xml:space="preserve">Level 1 </w:t>
      </w:r>
      <w:r>
        <w:rPr>
          <w:rFonts w:ascii="Cambria Math" w:cs="Cambria Math" w:hAnsi="Cambria Math"/>
          <w:sz w:val="24"/>
          <w:szCs w:val="24"/>
        </w:rPr>
        <w:t>‐</w:t>
      </w:r>
      <w:r>
        <w:rPr>
          <w:rFonts w:ascii="Times New Roman" w:cs="Times New Roman" w:hAnsi="Times New Roman"/>
          <w:sz w:val="24"/>
          <w:szCs w:val="24"/>
        </w:rPr>
        <w:t xml:space="preserve"> RQ1</w:t>
      </w:r>
      <w:r>
        <w:rPr>
          <w:rFonts w:ascii="Times New Roman" w:cs="Times New Roman" w:hAnsi="Times New Roman"/>
          <w:sz w:val="24"/>
          <w:szCs w:val="24"/>
        </w:rPr>
        <w:t xml:space="preserve">: </w:t>
      </w:r>
      <w:r>
        <w:rPr>
          <w:rFonts w:ascii="Times New Roman" w:cs="Times New Roman" w:hAnsi="Times New Roman"/>
          <w:sz w:val="24"/>
          <w:szCs w:val="24"/>
        </w:rPr>
        <w:t>Indivi</w:t>
      </w:r>
      <w:r>
        <w:rPr>
          <w:rFonts w:ascii="Times New Roman" w:cs="Times New Roman" w:hAnsi="Times New Roman"/>
          <w:sz w:val="24"/>
          <w:szCs w:val="24"/>
        </w:rPr>
        <w:t>dual vs. Group Decision Process</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 xml:space="preserve">Level 2 </w:t>
      </w:r>
      <w:r>
        <w:rPr>
          <w:rFonts w:ascii="Cambria Math" w:cs="Cambria Math" w:hAnsi="Cambria Math"/>
          <w:sz w:val="24"/>
          <w:szCs w:val="24"/>
        </w:rPr>
        <w:t>‐</w:t>
      </w:r>
      <w:r>
        <w:rPr>
          <w:rFonts w:ascii="Times New Roman" w:cs="Times New Roman" w:hAnsi="Times New Roman"/>
          <w:sz w:val="24"/>
          <w:szCs w:val="24"/>
        </w:rPr>
        <w:t xml:space="preserve"> Sub heading 1: Group Decision-Making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Level 2 – Sub heading 2</w:t>
      </w:r>
      <w:r>
        <w:rPr>
          <w:rFonts w:ascii="Times New Roman" w:cs="Times New Roman" w:hAnsi="Times New Roman"/>
          <w:sz w:val="24"/>
          <w:szCs w:val="24"/>
        </w:rPr>
        <w:t>:  Individual Decision-Making</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Level 1 – RQ2</w:t>
      </w:r>
      <w:r>
        <w:rPr>
          <w:rFonts w:ascii="Times New Roman" w:cs="Times New Roman" w:hAnsi="Times New Roman"/>
          <w:sz w:val="24"/>
          <w:szCs w:val="24"/>
        </w:rPr>
        <w:t xml:space="preserve">: Newest Directions and Developments in Strategy Development and Execution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 xml:space="preserve">Level 2 </w:t>
      </w:r>
      <w:r>
        <w:rPr>
          <w:rFonts w:ascii="Cambria Math" w:cs="Cambria Math" w:hAnsi="Cambria Math"/>
          <w:sz w:val="24"/>
          <w:szCs w:val="24"/>
        </w:rPr>
        <w:t>‐</w:t>
      </w:r>
      <w:r>
        <w:rPr>
          <w:rFonts w:ascii="Times New Roman" w:cs="Times New Roman" w:hAnsi="Times New Roman"/>
          <w:sz w:val="24"/>
          <w:szCs w:val="24"/>
        </w:rPr>
        <w:t xml:space="preserve"> Sub heading 1</w:t>
      </w:r>
      <w:r>
        <w:rPr>
          <w:rFonts w:ascii="Times New Roman" w:cs="Times New Roman" w:hAnsi="Times New Roman"/>
          <w:sz w:val="24"/>
          <w:szCs w:val="24"/>
        </w:rPr>
        <w:t xml:space="preserve">: Strategy Framework Selection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Level 2 – Sub heading 2</w:t>
      </w:r>
      <w:r>
        <w:rPr>
          <w:rFonts w:ascii="Times New Roman" w:cs="Times New Roman" w:hAnsi="Times New Roman"/>
          <w:sz w:val="24"/>
          <w:szCs w:val="24"/>
        </w:rPr>
        <w:t xml:space="preserve">: </w:t>
      </w:r>
      <w:r>
        <w:rPr>
          <w:rFonts w:ascii="Times New Roman" w:cs="Times New Roman" w:hAnsi="Times New Roman"/>
          <w:sz w:val="24"/>
          <w:szCs w:val="24"/>
        </w:rPr>
        <w:t>Strategy Development</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Level 2-Sub heading 3: Strategy Execution</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Level 1 – RQ3</w:t>
      </w:r>
      <w:r>
        <w:rPr>
          <w:rFonts w:ascii="Times New Roman" w:cs="Times New Roman" w:hAnsi="Times New Roman"/>
          <w:sz w:val="24"/>
          <w:szCs w:val="24"/>
        </w:rPr>
        <w:t xml:space="preserve">: Impact of Academic Discipline on Business Strategy Development and Execution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 xml:space="preserve">Level 2 </w:t>
      </w:r>
      <w:r>
        <w:rPr>
          <w:rFonts w:ascii="Cambria Math" w:cs="Cambria Math" w:hAnsi="Cambria Math"/>
          <w:sz w:val="24"/>
          <w:szCs w:val="24"/>
        </w:rPr>
        <w:t>‐</w:t>
      </w:r>
      <w:r>
        <w:rPr>
          <w:rFonts w:ascii="Times New Roman" w:cs="Times New Roman" w:hAnsi="Times New Roman"/>
          <w:sz w:val="24"/>
          <w:szCs w:val="24"/>
        </w:rPr>
        <w:t xml:space="preserve"> Sub heading 1: Planning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Level 2 – Sub heading 2</w:t>
      </w:r>
      <w:r>
        <w:rPr>
          <w:rFonts w:ascii="Times New Roman" w:cs="Times New Roman" w:hAnsi="Times New Roman"/>
          <w:sz w:val="24"/>
          <w:szCs w:val="24"/>
        </w:rPr>
        <w:t xml:space="preserve">: Directing </w:t>
      </w:r>
    </w:p>
    <w:p>
      <w:pPr>
        <w:pStyle w:val="style66"/>
        <w:spacing w:lineRule="auto" w:line="480"/>
        <w:ind w:left="1080" w:right="40" w:firstLine="360"/>
        <w:rPr>
          <w:rFonts w:ascii="Times New Roman" w:cs="Times New Roman" w:hAnsi="Times New Roman"/>
          <w:sz w:val="24"/>
          <w:szCs w:val="24"/>
        </w:rPr>
      </w:pPr>
      <w:r>
        <w:rPr>
          <w:rFonts w:ascii="Times New Roman" w:cs="Times New Roman" w:hAnsi="Times New Roman"/>
          <w:sz w:val="24"/>
          <w:szCs w:val="24"/>
        </w:rPr>
        <w:t xml:space="preserve">Level 2- Sub heading 3: Controlling </w:t>
      </w:r>
    </w:p>
    <w:p>
      <w:pPr>
        <w:pStyle w:val="style66"/>
        <w:numPr>
          <w:ilvl w:val="0"/>
          <w:numId w:val="1"/>
        </w:numPr>
        <w:spacing w:lineRule="auto" w:line="480"/>
        <w:ind w:right="4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Conclusion </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Summarize the findings</w:t>
      </w:r>
    </w:p>
    <w:p>
      <w:pPr>
        <w:pStyle w:val="style66"/>
        <w:spacing w:lineRule="auto" w:line="480"/>
        <w:ind w:left="1080" w:right="40"/>
        <w:rPr>
          <w:rFonts w:ascii="Times New Roman" w:cs="Times New Roman" w:hAnsi="Times New Roman"/>
          <w:sz w:val="24"/>
          <w:szCs w:val="24"/>
        </w:rPr>
      </w:pPr>
      <w:r>
        <w:rPr>
          <w:rFonts w:ascii="Times New Roman" w:cs="Times New Roman" w:hAnsi="Times New Roman"/>
          <w:sz w:val="24"/>
          <w:szCs w:val="24"/>
        </w:rPr>
        <w:t>Concluding statement</w:t>
      </w:r>
    </w:p>
    <w:p>
      <w:pPr>
        <w:pStyle w:val="style66"/>
        <w:numPr>
          <w:ilvl w:val="0"/>
          <w:numId w:val="1"/>
        </w:numPr>
        <w:spacing w:lineRule="auto" w:line="480"/>
        <w:ind w:right="40"/>
        <w:rPr>
          <w:rFonts w:ascii="Times New Roman" w:cs="Times New Roman" w:hAnsi="Times New Roman"/>
          <w:b/>
          <w:sz w:val="24"/>
          <w:szCs w:val="24"/>
        </w:rPr>
      </w:pPr>
      <w:r>
        <w:rPr>
          <w:rFonts w:ascii="Times New Roman" w:cs="Times New Roman" w:hAnsi="Times New Roman"/>
          <w:b/>
          <w:sz w:val="24"/>
          <w:szCs w:val="24"/>
        </w:rPr>
        <w:t>References</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Borissova</w:t>
      </w:r>
      <w:r>
        <w:rPr>
          <w:rFonts w:ascii="Times New Roman" w:cs="Times New Roman" w:hAnsi="Times New Roman"/>
          <w:color w:val="222222"/>
          <w:sz w:val="24"/>
          <w:szCs w:val="24"/>
          <w:shd w:val="clear" w:color="auto" w:fill="ffffff"/>
        </w:rPr>
        <w:t xml:space="preserve">, D., </w:t>
      </w:r>
      <w:r>
        <w:rPr>
          <w:rFonts w:ascii="Times New Roman" w:cs="Times New Roman" w:hAnsi="Times New Roman"/>
          <w:color w:val="222222"/>
          <w:sz w:val="24"/>
          <w:szCs w:val="24"/>
          <w:shd w:val="clear" w:color="auto" w:fill="ffffff"/>
        </w:rPr>
        <w:t>Korsemov</w:t>
      </w:r>
      <w:r>
        <w:rPr>
          <w:rFonts w:ascii="Times New Roman" w:cs="Times New Roman" w:hAnsi="Times New Roman"/>
          <w:color w:val="222222"/>
          <w:sz w:val="24"/>
          <w:szCs w:val="24"/>
          <w:shd w:val="clear" w:color="auto" w:fill="ffffff"/>
        </w:rPr>
        <w:t xml:space="preserve">, D., &amp; </w:t>
      </w:r>
      <w:r>
        <w:rPr>
          <w:rFonts w:ascii="Times New Roman" w:cs="Times New Roman" w:hAnsi="Times New Roman"/>
          <w:color w:val="222222"/>
          <w:sz w:val="24"/>
          <w:szCs w:val="24"/>
          <w:shd w:val="clear" w:color="auto" w:fill="ffffff"/>
        </w:rPr>
        <w:t>Mustakerov</w:t>
      </w:r>
      <w:r>
        <w:rPr>
          <w:rFonts w:ascii="Times New Roman" w:cs="Times New Roman" w:hAnsi="Times New Roman"/>
          <w:color w:val="222222"/>
          <w:sz w:val="24"/>
          <w:szCs w:val="24"/>
          <w:shd w:val="clear" w:color="auto" w:fill="ffffff"/>
        </w:rPr>
        <w:t>, I. (2019, September).</w:t>
      </w:r>
      <w:r>
        <w:rPr>
          <w:rFonts w:ascii="Times New Roman" w:cs="Times New Roman" w:hAnsi="Times New Roman"/>
          <w:color w:val="222222"/>
          <w:sz w:val="24"/>
          <w:szCs w:val="24"/>
          <w:shd w:val="clear" w:color="auto" w:fill="ffffff"/>
        </w:rPr>
        <w:t xml:space="preserve"> Multi-criteria decision making problem for doing business: comparison between approaches of individual and group decision making. </w:t>
      </w:r>
      <w:r>
        <w:rPr>
          <w:rFonts w:ascii="Times New Roman" w:cs="Times New Roman" w:hAnsi="Times New Roman"/>
          <w:color w:val="222222"/>
          <w:sz w:val="24"/>
          <w:szCs w:val="24"/>
          <w:shd w:val="clear" w:color="auto" w:fill="ffffff"/>
        </w:rPr>
        <w:t>In </w:t>
      </w:r>
      <w:r>
        <w:rPr>
          <w:rFonts w:ascii="Times New Roman" w:cs="Times New Roman" w:hAnsi="Times New Roman"/>
          <w:i/>
          <w:iCs/>
          <w:color w:val="222222"/>
          <w:sz w:val="24"/>
          <w:szCs w:val="24"/>
          <w:shd w:val="clear" w:color="auto" w:fill="ffffff"/>
        </w:rPr>
        <w:t>IFIP International Conference on C</w:t>
      </w:r>
      <w:r>
        <w:rPr>
          <w:rFonts w:ascii="Times New Roman" w:cs="Times New Roman" w:hAnsi="Times New Roman"/>
          <w:i/>
          <w:iCs/>
          <w:color w:val="222222"/>
          <w:sz w:val="24"/>
          <w:szCs w:val="24"/>
          <w:shd w:val="clear" w:color="auto" w:fill="ffffff"/>
        </w:rPr>
        <w:t xml:space="preserve">omputer Information Systems and </w:t>
      </w:r>
      <w:r>
        <w:rPr>
          <w:rFonts w:ascii="Times New Roman" w:cs="Times New Roman" w:hAnsi="Times New Roman"/>
          <w:i/>
          <w:iCs/>
          <w:color w:val="222222"/>
          <w:sz w:val="24"/>
          <w:szCs w:val="24"/>
          <w:shd w:val="clear" w:color="auto" w:fill="ffffff"/>
        </w:rPr>
        <w:t>Industrial Management</w:t>
      </w:r>
      <w:r>
        <w:rPr>
          <w:rFonts w:ascii="Times New Roman" w:cs="Times New Roman" w:hAnsi="Times New Roman"/>
          <w:color w:val="222222"/>
          <w:sz w:val="24"/>
          <w:szCs w:val="24"/>
          <w:shd w:val="clear" w:color="auto" w:fill="ffffff"/>
        </w:rPr>
        <w:t> (pp. 385-396).</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Springer, Cham.</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Charness</w:t>
      </w:r>
      <w:r>
        <w:rPr>
          <w:rFonts w:ascii="Times New Roman" w:cs="Times New Roman" w:hAnsi="Times New Roman"/>
          <w:color w:val="222222"/>
          <w:sz w:val="24"/>
          <w:szCs w:val="24"/>
          <w:shd w:val="clear" w:color="auto" w:fill="ffffff"/>
        </w:rPr>
        <w:t>, G., &amp; Sutter, M. (2012).</w:t>
      </w:r>
      <w:r>
        <w:rPr>
          <w:rFonts w:ascii="Times New Roman" w:cs="Times New Roman" w:hAnsi="Times New Roman"/>
          <w:color w:val="222222"/>
          <w:sz w:val="24"/>
          <w:szCs w:val="24"/>
          <w:shd w:val="clear" w:color="auto" w:fill="ffffff"/>
        </w:rPr>
        <w:t xml:space="preserve"> Groups make better self-interested decisions. </w:t>
      </w:r>
      <w:r>
        <w:rPr>
          <w:rFonts w:ascii="Times New Roman" w:cs="Times New Roman" w:hAnsi="Times New Roman"/>
          <w:i/>
          <w:iCs/>
          <w:color w:val="222222"/>
          <w:sz w:val="24"/>
          <w:szCs w:val="24"/>
          <w:shd w:val="clear" w:color="auto" w:fill="ffffff"/>
        </w:rPr>
        <w:t>Journal of Economic Perspectives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26</w:t>
      </w:r>
      <w:r>
        <w:rPr>
          <w:rFonts w:ascii="Times New Roman" w:cs="Times New Roman" w:hAnsi="Times New Roman"/>
          <w:color w:val="222222"/>
          <w:sz w:val="24"/>
          <w:szCs w:val="24"/>
          <w:shd w:val="clear" w:color="auto" w:fill="ffffff"/>
        </w:rPr>
        <w:t>(3), 157-76.</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Csaszar</w:t>
      </w:r>
      <w:r>
        <w:rPr>
          <w:rFonts w:ascii="Times New Roman" w:cs="Times New Roman" w:hAnsi="Times New Roman"/>
          <w:color w:val="222222"/>
          <w:sz w:val="24"/>
          <w:szCs w:val="24"/>
          <w:shd w:val="clear" w:color="auto" w:fill="ffffff"/>
        </w:rPr>
        <w:t>, F. A., &amp; Eggers, J. P. (2013).</w:t>
      </w:r>
      <w:r>
        <w:rPr>
          <w:rFonts w:ascii="Times New Roman" w:cs="Times New Roman" w:hAnsi="Times New Roman"/>
          <w:color w:val="222222"/>
          <w:sz w:val="24"/>
          <w:szCs w:val="24"/>
          <w:shd w:val="clear" w:color="auto" w:fill="ffffff"/>
        </w:rPr>
        <w:t xml:space="preserve"> Organizational decision making: An information aggregation view. </w:t>
      </w:r>
      <w:r>
        <w:rPr>
          <w:rFonts w:ascii="Times New Roman" w:cs="Times New Roman" w:hAnsi="Times New Roman"/>
          <w:i/>
          <w:iCs/>
          <w:color w:val="222222"/>
          <w:sz w:val="24"/>
          <w:szCs w:val="24"/>
          <w:shd w:val="clear" w:color="auto" w:fill="ffffff"/>
        </w:rPr>
        <w:t>Management Science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59</w:t>
      </w:r>
      <w:r>
        <w:rPr>
          <w:rFonts w:ascii="Times New Roman" w:cs="Times New Roman" w:hAnsi="Times New Roman"/>
          <w:color w:val="222222"/>
          <w:sz w:val="24"/>
          <w:szCs w:val="24"/>
          <w:shd w:val="clear" w:color="auto" w:fill="ffffff"/>
        </w:rPr>
        <w:t>(10), 2257-2277.</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Dyson, R. G., Bryant, J., </w:t>
      </w:r>
      <w:r>
        <w:rPr>
          <w:rFonts w:ascii="Times New Roman" w:cs="Times New Roman" w:hAnsi="Times New Roman"/>
          <w:color w:val="222222"/>
          <w:sz w:val="24"/>
          <w:szCs w:val="24"/>
          <w:shd w:val="clear" w:color="auto" w:fill="ffffff"/>
        </w:rPr>
        <w:t>Morecroft</w:t>
      </w:r>
      <w:r>
        <w:rPr>
          <w:rFonts w:ascii="Times New Roman" w:cs="Times New Roman" w:hAnsi="Times New Roman"/>
          <w:color w:val="222222"/>
          <w:sz w:val="24"/>
          <w:szCs w:val="24"/>
          <w:shd w:val="clear" w:color="auto" w:fill="ffffff"/>
        </w:rPr>
        <w:t>, J., &amp; O’Brien, F. (2007).</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The strategic development process.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Supporting strategy: Frameworks, methods and models</w:t>
      </w:r>
      <w:r>
        <w:rPr>
          <w:rFonts w:ascii="Times New Roman" w:cs="Times New Roman" w:hAnsi="Times New Roman"/>
          <w:color w:val="222222"/>
          <w:sz w:val="24"/>
          <w:szCs w:val="24"/>
          <w:shd w:val="clear" w:color="auto" w:fill="ffffff"/>
        </w:rPr>
        <w:t>, 3-24.</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Dyson, R. G. (2004). </w:t>
      </w:r>
      <w:r>
        <w:rPr>
          <w:rFonts w:ascii="Times New Roman" w:cs="Times New Roman" w:hAnsi="Times New Roman"/>
          <w:color w:val="222222"/>
          <w:sz w:val="24"/>
          <w:szCs w:val="24"/>
          <w:shd w:val="clear" w:color="auto" w:fill="ffffff"/>
        </w:rPr>
        <w:t>Strategic development and SWOT analysis at the University of Warwick.</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European journal of operational research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152</w:t>
      </w:r>
      <w:r>
        <w:rPr>
          <w:rFonts w:ascii="Times New Roman" w:cs="Times New Roman" w:hAnsi="Times New Roman"/>
          <w:color w:val="222222"/>
          <w:sz w:val="24"/>
          <w:szCs w:val="24"/>
          <w:shd w:val="clear" w:color="auto" w:fill="ffffff"/>
        </w:rPr>
        <w:t>(3), 631-640.</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Fulmer, R. M., </w:t>
      </w:r>
      <w:r>
        <w:rPr>
          <w:rFonts w:ascii="Times New Roman" w:cs="Times New Roman" w:hAnsi="Times New Roman"/>
          <w:color w:val="222222"/>
          <w:sz w:val="24"/>
          <w:szCs w:val="24"/>
          <w:shd w:val="clear" w:color="auto" w:fill="ffffff"/>
        </w:rPr>
        <w:t>Stumpf</w:t>
      </w:r>
      <w:r>
        <w:rPr>
          <w:rFonts w:ascii="Times New Roman" w:cs="Times New Roman" w:hAnsi="Times New Roman"/>
          <w:color w:val="222222"/>
          <w:sz w:val="24"/>
          <w:szCs w:val="24"/>
          <w:shd w:val="clear" w:color="auto" w:fill="ffffff"/>
        </w:rPr>
        <w:t>, S. A., &amp; Bleak, J. (2009).</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The strategic development of high potential leaders.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Strategy &amp; Leadership</w:t>
      </w:r>
      <w:r>
        <w:rPr>
          <w:rFonts w:ascii="Times New Roman" w:cs="Times New Roman" w:hAnsi="Times New Roman"/>
          <w:color w:val="222222"/>
          <w:sz w:val="24"/>
          <w:szCs w:val="24"/>
          <w:shd w:val="clear" w:color="auto" w:fill="ffffff"/>
        </w:rPr>
        <w:t>.</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Gary, L., Amos, N. H., &amp; </w:t>
      </w:r>
      <w:r>
        <w:rPr>
          <w:rFonts w:ascii="Times New Roman" w:cs="Times New Roman" w:hAnsi="Times New Roman"/>
          <w:color w:val="222222"/>
          <w:sz w:val="24"/>
          <w:szCs w:val="24"/>
          <w:shd w:val="clear" w:color="auto" w:fill="ffffff"/>
        </w:rPr>
        <w:t>Tehseen</w:t>
      </w:r>
      <w:r>
        <w:rPr>
          <w:rFonts w:ascii="Times New Roman" w:cs="Times New Roman" w:hAnsi="Times New Roman"/>
          <w:color w:val="222222"/>
          <w:sz w:val="24"/>
          <w:szCs w:val="24"/>
          <w:shd w:val="clear" w:color="auto" w:fill="ffffff"/>
        </w:rPr>
        <w:t>, A. (2018).</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Towards strategic development of maintenance and its effects on production performance by using system dynamics in the automotive industry.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International Journal of Production Economics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200</w:t>
      </w:r>
      <w:r>
        <w:rPr>
          <w:rFonts w:ascii="Times New Roman" w:cs="Times New Roman" w:hAnsi="Times New Roman"/>
          <w:color w:val="222222"/>
          <w:sz w:val="24"/>
          <w:szCs w:val="24"/>
          <w:shd w:val="clear" w:color="auto" w:fill="ffffff"/>
        </w:rPr>
        <w:t>, 151-169.</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Kunc</w:t>
      </w:r>
      <w:r>
        <w:rPr>
          <w:rFonts w:ascii="Times New Roman" w:cs="Times New Roman" w:hAnsi="Times New Roman"/>
          <w:color w:val="222222"/>
          <w:sz w:val="24"/>
          <w:szCs w:val="24"/>
          <w:shd w:val="clear" w:color="auto" w:fill="ffffff"/>
        </w:rPr>
        <w:t xml:space="preserve">, M., &amp; </w:t>
      </w:r>
      <w:r>
        <w:rPr>
          <w:rFonts w:ascii="Times New Roman" w:cs="Times New Roman" w:hAnsi="Times New Roman"/>
          <w:color w:val="222222"/>
          <w:sz w:val="24"/>
          <w:szCs w:val="24"/>
          <w:shd w:val="clear" w:color="auto" w:fill="ffffff"/>
        </w:rPr>
        <w:t>Bhandari</w:t>
      </w:r>
      <w:r>
        <w:rPr>
          <w:rFonts w:ascii="Times New Roman" w:cs="Times New Roman" w:hAnsi="Times New Roman"/>
          <w:color w:val="222222"/>
          <w:sz w:val="24"/>
          <w:szCs w:val="24"/>
          <w:shd w:val="clear" w:color="auto" w:fill="ffffff"/>
        </w:rPr>
        <w:t>, R. (2011).</w:t>
      </w:r>
      <w:r>
        <w:rPr>
          <w:rFonts w:ascii="Times New Roman" w:cs="Times New Roman" w:hAnsi="Times New Roman"/>
          <w:color w:val="222222"/>
          <w:sz w:val="24"/>
          <w:szCs w:val="24"/>
          <w:shd w:val="clear" w:color="auto" w:fill="ffffff"/>
        </w:rPr>
        <w:t xml:space="preserve"> Strategic development processes during economic and financial crisis. </w:t>
      </w:r>
      <w:r>
        <w:rPr>
          <w:rFonts w:ascii="Times New Roman" w:cs="Times New Roman" w:hAnsi="Times New Roman"/>
          <w:i/>
          <w:iCs/>
          <w:color w:val="222222"/>
          <w:sz w:val="24"/>
          <w:szCs w:val="24"/>
          <w:shd w:val="clear" w:color="auto" w:fill="ffffff"/>
        </w:rPr>
        <w:t>Management Decision</w:t>
      </w:r>
      <w:r>
        <w:rPr>
          <w:rFonts w:ascii="Times New Roman" w:cs="Times New Roman" w:hAnsi="Times New Roman"/>
          <w:color w:val="222222"/>
          <w:sz w:val="24"/>
          <w:szCs w:val="24"/>
          <w:shd w:val="clear" w:color="auto" w:fill="ffffff"/>
        </w:rPr>
        <w:t>.</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Melkonyan</w:t>
      </w:r>
      <w:r>
        <w:rPr>
          <w:rFonts w:ascii="Times New Roman" w:cs="Times New Roman" w:hAnsi="Times New Roman"/>
          <w:color w:val="222222"/>
          <w:sz w:val="24"/>
          <w:szCs w:val="24"/>
          <w:shd w:val="clear" w:color="auto" w:fill="ffffff"/>
        </w:rPr>
        <w:t xml:space="preserve">, T., &amp; </w:t>
      </w:r>
      <w:r>
        <w:rPr>
          <w:rFonts w:ascii="Times New Roman" w:cs="Times New Roman" w:hAnsi="Times New Roman"/>
          <w:color w:val="222222"/>
          <w:sz w:val="24"/>
          <w:szCs w:val="24"/>
          <w:shd w:val="clear" w:color="auto" w:fill="ffffff"/>
        </w:rPr>
        <w:t>Safra</w:t>
      </w:r>
      <w:r>
        <w:rPr>
          <w:rFonts w:ascii="Times New Roman" w:cs="Times New Roman" w:hAnsi="Times New Roman"/>
          <w:color w:val="222222"/>
          <w:sz w:val="24"/>
          <w:szCs w:val="24"/>
          <w:shd w:val="clear" w:color="auto" w:fill="ffffff"/>
        </w:rPr>
        <w:t>, Z. (2016).</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Intrinsic variability in group and individual decision making.</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Management Science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62</w:t>
      </w:r>
      <w:r>
        <w:rPr>
          <w:rFonts w:ascii="Times New Roman" w:cs="Times New Roman" w:hAnsi="Times New Roman"/>
          <w:color w:val="222222"/>
          <w:sz w:val="24"/>
          <w:szCs w:val="24"/>
          <w:shd w:val="clear" w:color="auto" w:fill="ffffff"/>
        </w:rPr>
        <w:t>(9), 2651-2667.</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Mukherjee, N., Dicks, L. V., Shackelford, G. E., </w:t>
      </w:r>
      <w:r>
        <w:rPr>
          <w:rFonts w:ascii="Times New Roman" w:cs="Times New Roman" w:hAnsi="Times New Roman"/>
          <w:color w:val="222222"/>
          <w:sz w:val="24"/>
          <w:szCs w:val="24"/>
          <w:shd w:val="clear" w:color="auto" w:fill="ffffff"/>
        </w:rPr>
        <w:t>Vira</w:t>
      </w:r>
      <w:r>
        <w:rPr>
          <w:rFonts w:ascii="Times New Roman" w:cs="Times New Roman" w:hAnsi="Times New Roman"/>
          <w:color w:val="222222"/>
          <w:sz w:val="24"/>
          <w:szCs w:val="24"/>
          <w:shd w:val="clear" w:color="auto" w:fill="ffffff"/>
        </w:rPr>
        <w:t xml:space="preserve">, B., &amp; Sutherland, W. J. (2016). </w:t>
      </w:r>
      <w:r>
        <w:rPr>
          <w:rFonts w:ascii="Times New Roman" w:cs="Times New Roman" w:hAnsi="Times New Roman"/>
          <w:color w:val="222222"/>
          <w:sz w:val="24"/>
          <w:szCs w:val="24"/>
          <w:shd w:val="clear" w:color="auto" w:fill="ffffff"/>
        </w:rPr>
        <w:t>Comparing groups versus individuals in decision making: a systematic review protocol.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Environmental Evidence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w:t>
      </w:r>
      <w:r>
        <w:rPr>
          <w:rFonts w:ascii="Times New Roman" w:cs="Times New Roman" w:hAnsi="Times New Roman"/>
          <w:color w:val="222222"/>
          <w:sz w:val="24"/>
          <w:szCs w:val="24"/>
          <w:shd w:val="clear" w:color="auto" w:fill="ffffff"/>
        </w:rPr>
        <w:t>(1), 1-9.</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Rothwell</w:t>
      </w:r>
      <w:r>
        <w:rPr>
          <w:rFonts w:ascii="Times New Roman" w:cs="Times New Roman" w:hAnsi="Times New Roman"/>
          <w:color w:val="222222"/>
          <w:sz w:val="24"/>
          <w:szCs w:val="24"/>
          <w:shd w:val="clear" w:color="auto" w:fill="ffffff"/>
        </w:rPr>
        <w:t xml:space="preserve">, W. J., &amp; </w:t>
      </w:r>
      <w:r>
        <w:rPr>
          <w:rFonts w:ascii="Times New Roman" w:cs="Times New Roman" w:hAnsi="Times New Roman"/>
          <w:color w:val="222222"/>
          <w:sz w:val="24"/>
          <w:szCs w:val="24"/>
          <w:shd w:val="clear" w:color="auto" w:fill="ffffff"/>
        </w:rPr>
        <w:t>Kazanas</w:t>
      </w:r>
      <w:r>
        <w:rPr>
          <w:rFonts w:ascii="Times New Roman" w:cs="Times New Roman" w:hAnsi="Times New Roman"/>
          <w:color w:val="222222"/>
          <w:sz w:val="24"/>
          <w:szCs w:val="24"/>
          <w:shd w:val="clear" w:color="auto" w:fill="ffffff"/>
        </w:rPr>
        <w:t>, H. C. (2003).</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The strategic development of talent</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Human Resource Development.</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Speier</w:t>
      </w:r>
      <w:r>
        <w:rPr>
          <w:rFonts w:ascii="Times New Roman" w:cs="Times New Roman" w:hAnsi="Times New Roman"/>
          <w:color w:val="222222"/>
          <w:sz w:val="24"/>
          <w:szCs w:val="24"/>
          <w:shd w:val="clear" w:color="auto" w:fill="ffffff"/>
        </w:rPr>
        <w:t xml:space="preserve">, C., </w:t>
      </w:r>
      <w:r>
        <w:rPr>
          <w:rFonts w:ascii="Times New Roman" w:cs="Times New Roman" w:hAnsi="Times New Roman"/>
          <w:color w:val="222222"/>
          <w:sz w:val="24"/>
          <w:szCs w:val="24"/>
          <w:shd w:val="clear" w:color="auto" w:fill="ffffff"/>
        </w:rPr>
        <w:t>Valacich</w:t>
      </w:r>
      <w:r>
        <w:rPr>
          <w:rFonts w:ascii="Times New Roman" w:cs="Times New Roman" w:hAnsi="Times New Roman"/>
          <w:color w:val="222222"/>
          <w:sz w:val="24"/>
          <w:szCs w:val="24"/>
          <w:shd w:val="clear" w:color="auto" w:fill="ffffff"/>
        </w:rPr>
        <w:t xml:space="preserve">, J. S., &amp; </w:t>
      </w:r>
      <w:r>
        <w:rPr>
          <w:rFonts w:ascii="Times New Roman" w:cs="Times New Roman" w:hAnsi="Times New Roman"/>
          <w:color w:val="222222"/>
          <w:sz w:val="24"/>
          <w:szCs w:val="24"/>
          <w:shd w:val="clear" w:color="auto" w:fill="ffffff"/>
        </w:rPr>
        <w:t>Vessey</w:t>
      </w:r>
      <w:r>
        <w:rPr>
          <w:rFonts w:ascii="Times New Roman" w:cs="Times New Roman" w:hAnsi="Times New Roman"/>
          <w:color w:val="222222"/>
          <w:sz w:val="24"/>
          <w:szCs w:val="24"/>
          <w:shd w:val="clear" w:color="auto" w:fill="ffffff"/>
        </w:rPr>
        <w:t>, I. (1999).</w:t>
      </w:r>
      <w:r>
        <w:rPr>
          <w:rFonts w:ascii="Times New Roman" w:cs="Times New Roman" w:hAnsi="Times New Roman"/>
          <w:color w:val="222222"/>
          <w:sz w:val="24"/>
          <w:szCs w:val="24"/>
          <w:shd w:val="clear" w:color="auto" w:fill="ffffff"/>
        </w:rPr>
        <w:t xml:space="preserve"> The influence of task interruption on individual decision making: An information overload perspective. </w:t>
      </w:r>
      <w:r>
        <w:rPr>
          <w:rFonts w:ascii="Times New Roman" w:cs="Times New Roman" w:hAnsi="Times New Roman"/>
          <w:i/>
          <w:iCs/>
          <w:color w:val="222222"/>
          <w:sz w:val="24"/>
          <w:szCs w:val="24"/>
          <w:shd w:val="clear" w:color="auto" w:fill="ffffff"/>
        </w:rPr>
        <w:t>Decision sciences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30</w:t>
      </w:r>
      <w:r>
        <w:rPr>
          <w:rFonts w:ascii="Times New Roman" w:cs="Times New Roman" w:hAnsi="Times New Roman"/>
          <w:color w:val="222222"/>
          <w:sz w:val="24"/>
          <w:szCs w:val="24"/>
          <w:shd w:val="clear" w:color="auto" w:fill="ffffff"/>
        </w:rPr>
        <w:t>(2), 337-360.</w:t>
      </w:r>
    </w:p>
    <w:p>
      <w:pPr>
        <w:pStyle w:val="style179"/>
        <w:spacing w:after="0" w:lineRule="auto" w:line="480"/>
        <w:ind w:left="180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Thompson, C. R. (2019). The Impact of Customer Collaboration on Agile Product Development Success in Technology Startups </w:t>
      </w:r>
      <w:r>
        <w:rPr>
          <w:rFonts w:ascii="Times New Roman" w:cs="Times New Roman" w:hAnsi="Times New Roman"/>
          <w:color w:val="222222"/>
          <w:sz w:val="24"/>
          <w:szCs w:val="24"/>
          <w:shd w:val="clear" w:color="auto" w:fill="ffffff"/>
        </w:rPr>
        <w:t>Within</w:t>
      </w:r>
      <w:r>
        <w:rPr>
          <w:rFonts w:ascii="Times New Roman" w:cs="Times New Roman" w:hAnsi="Times New Roman"/>
          <w:color w:val="222222"/>
          <w:sz w:val="24"/>
          <w:szCs w:val="24"/>
          <w:shd w:val="clear" w:color="auto" w:fill="ffffff"/>
        </w:rPr>
        <w:t xml:space="preserve"> the Pacific Northwest.</w:t>
      </w:r>
    </w:p>
    <w:p>
      <w:pPr>
        <w:pStyle w:val="style179"/>
        <w:spacing w:after="0" w:lineRule="auto" w:line="480"/>
        <w:ind w:left="1800" w:hanging="720"/>
        <w:rPr>
          <w:rFonts w:ascii="Times New Roman" w:cs="Times New Roman" w:hAnsi="Times New Roman"/>
          <w:sz w:val="24"/>
          <w:szCs w:val="24"/>
        </w:rPr>
      </w:pPr>
      <w:r>
        <w:rPr>
          <w:rFonts w:ascii="Times New Roman" w:cs="Times New Roman" w:hAnsi="Times New Roman"/>
          <w:sz w:val="24"/>
          <w:szCs w:val="24"/>
        </w:rPr>
        <w:t xml:space="preserve">Valentine, R. S., </w:t>
      </w:r>
      <w:r>
        <w:rPr>
          <w:rFonts w:ascii="Times New Roman" w:cs="Times New Roman" w:hAnsi="Times New Roman"/>
          <w:sz w:val="24"/>
          <w:szCs w:val="24"/>
        </w:rPr>
        <w:t>Meglich</w:t>
      </w:r>
      <w:r>
        <w:rPr>
          <w:rFonts w:ascii="Times New Roman" w:cs="Times New Roman" w:hAnsi="Times New Roman"/>
          <w:sz w:val="24"/>
          <w:szCs w:val="24"/>
        </w:rPr>
        <w:t>, A. P., Mathis, L. R., &amp; Jackson, H. J. (2020).</w:t>
      </w:r>
      <w:r>
        <w:rPr>
          <w:rFonts w:ascii="Times New Roman" w:cs="Times New Roman" w:hAnsi="Times New Roman"/>
          <w:sz w:val="24"/>
          <w:szCs w:val="24"/>
        </w:rPr>
        <w:t xml:space="preserve"> </w:t>
      </w:r>
      <w:r>
        <w:rPr>
          <w:rFonts w:ascii="Times New Roman" w:cs="Times New Roman" w:hAnsi="Times New Roman"/>
          <w:sz w:val="24"/>
          <w:szCs w:val="24"/>
        </w:rPr>
        <w:t>Human Resource Management (16</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w:t>
      </w:r>
      <w:r>
        <w:rPr>
          <w:rFonts w:ascii="Times New Roman" w:cs="Times New Roman" w:hAnsi="Times New Roman"/>
          <w:sz w:val="24"/>
          <w:szCs w:val="24"/>
        </w:rPr>
        <w:t xml:space="preserve"> </w:t>
      </w:r>
      <w:r>
        <w:rPr>
          <w:rFonts w:ascii="Times New Roman" w:cs="Times New Roman" w:hAnsi="Times New Roman"/>
          <w:sz w:val="24"/>
          <w:szCs w:val="24"/>
        </w:rPr>
        <w:t>Cengage</w:t>
      </w:r>
      <w:r>
        <w:rPr>
          <w:rFonts w:ascii="Times New Roman" w:cs="Times New Roman" w:hAnsi="Times New Roman"/>
          <w:sz w:val="24"/>
          <w:szCs w:val="24"/>
        </w:rPr>
        <w:t xml:space="preserve"> Learning, Inc. </w:t>
      </w:r>
    </w:p>
    <w:p>
      <w:pPr>
        <w:pStyle w:val="style66"/>
        <w:spacing w:lineRule="auto" w:line="480"/>
        <w:ind w:left="1080" w:right="4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1789B5A"/>
    <w:lvl w:ilvl="0" w:tplc="E3968B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6E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E1415F6"/>
    <w:lvl w:ilvl="0" w:tplc="2410E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1A674B0"/>
    <w:lvl w:ilvl="0" w:tplc="67161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qFormat/>
    <w:uiPriority w:val="1"/>
    <w:pPr>
      <w:widowControl w:val="false"/>
      <w:autoSpaceDE w:val="false"/>
      <w:autoSpaceDN w:val="false"/>
      <w:spacing w:after="0" w:lineRule="auto" w:line="240"/>
    </w:pPr>
    <w:rPr>
      <w:rFonts w:ascii="Calibri" w:cs="Calibri" w:eastAsia="Calibri" w:hAnsi="Calibri"/>
    </w:rPr>
  </w:style>
  <w:style w:type="character" w:customStyle="1" w:styleId="style4097">
    <w:name w:val="Body Text Char"/>
    <w:basedOn w:val="style65"/>
    <w:next w:val="style4097"/>
    <w:link w:val="style66"/>
    <w:uiPriority w:val="1"/>
    <w:rPr>
      <w:rFonts w:ascii="Calibri" w:cs="Calibri" w:eastAsia="Calibri" w:hAnsi="Calibri"/>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487</Words>
  <Pages>3</Pages>
  <Characters>2945</Characters>
  <Application>WPS Office</Application>
  <DocSecurity>0</DocSecurity>
  <Paragraphs>35</Paragraphs>
  <ScaleCrop>false</ScaleCrop>
  <LinksUpToDate>false</LinksUpToDate>
  <CharactersWithSpaces>3417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2021-02-27T12:38:02Z</dcterms:created>
  <dc:creator>acer</dc:creator>
  <lastModifiedBy>SM-A515F</lastModifiedBy>
  <dcterms:modified xsi:type="dcterms:W3CDTF">2021-02-27T12:38:02Z</dcterms:modified>
  <revision>1</revision>
</coreProperties>
</file>

<file path=docProps/custom.xml><?xml version="1.0" encoding="utf-8"?>
<Properties xmlns="http://schemas.openxmlformats.org/officeDocument/2006/custom-properties" xmlns:vt="http://schemas.openxmlformats.org/officeDocument/2006/docPropsVTypes"/>
</file>